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F6FDC" w14:textId="77777777" w:rsidR="00966B74" w:rsidRPr="00966B74" w:rsidRDefault="00966B74" w:rsidP="00375CEF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szCs w:val="28"/>
        </w:rPr>
      </w:pPr>
      <w:bookmarkStart w:id="0" w:name="_GoBack"/>
      <w:bookmarkEnd w:id="0"/>
      <w:r w:rsidRPr="00966B74">
        <w:rPr>
          <w:rFonts w:asciiTheme="minorHAnsi" w:hAnsiTheme="minorHAnsi" w:cstheme="minorHAnsi"/>
          <w:b/>
          <w:bCs/>
          <w:szCs w:val="28"/>
        </w:rPr>
        <w:t>Collaborative Practice Agreement</w:t>
      </w:r>
      <w:r w:rsidR="00B0070C">
        <w:rPr>
          <w:rFonts w:asciiTheme="minorHAnsi" w:hAnsiTheme="minorHAnsi" w:cstheme="minorHAnsi"/>
          <w:b/>
          <w:bCs/>
          <w:szCs w:val="28"/>
        </w:rPr>
        <w:t xml:space="preserve">: </w:t>
      </w:r>
      <w:r w:rsidR="00375CEF">
        <w:rPr>
          <w:rFonts w:asciiTheme="minorHAnsi" w:hAnsiTheme="minorHAnsi" w:cstheme="minorHAnsi"/>
          <w:b/>
          <w:bCs/>
          <w:szCs w:val="28"/>
        </w:rPr>
        <w:br/>
      </w:r>
      <w:r w:rsidR="00B0070C">
        <w:rPr>
          <w:rFonts w:asciiTheme="minorHAnsi" w:hAnsiTheme="minorHAnsi" w:cstheme="minorHAnsi"/>
          <w:b/>
          <w:bCs/>
          <w:szCs w:val="28"/>
        </w:rPr>
        <w:t>Physician Referral for Comprehensive Medication Review and Assessment</w:t>
      </w:r>
    </w:p>
    <w:p w14:paraId="74731480" w14:textId="77777777" w:rsidR="00966B74" w:rsidRPr="00966B74" w:rsidRDefault="00966B7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DE65A92" w14:textId="77777777" w:rsidR="00966B74" w:rsidRPr="00966B74" w:rsidRDefault="00966B74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Introduction:</w:t>
      </w:r>
    </w:p>
    <w:p w14:paraId="36312F5B" w14:textId="0E8F29C0" w:rsidR="002F2924" w:rsidRPr="002E0EC9" w:rsidRDefault="00A23DDE" w:rsidP="00A23DDE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Asthma is a complex medical condition which often requires close monitoring, medication management, </w:t>
      </w:r>
      <w:r w:rsidR="007406A0">
        <w:rPr>
          <w:rFonts w:asciiTheme="minorHAnsi" w:hAnsiTheme="minorHAnsi" w:cstheme="minorHAnsi"/>
        </w:rPr>
        <w:t xml:space="preserve">drug dose </w:t>
      </w:r>
      <w:r>
        <w:rPr>
          <w:rFonts w:asciiTheme="minorHAnsi" w:hAnsiTheme="minorHAnsi" w:cstheme="minorHAnsi"/>
        </w:rPr>
        <w:t>titration, and patient</w:t>
      </w:r>
      <w:r w:rsidR="007406A0">
        <w:rPr>
          <w:rFonts w:asciiTheme="minorHAnsi" w:hAnsiTheme="minorHAnsi" w:cstheme="minorHAnsi"/>
        </w:rPr>
        <w:t>/caregiver</w:t>
      </w:r>
      <w:r>
        <w:rPr>
          <w:rFonts w:asciiTheme="minorHAnsi" w:hAnsiTheme="minorHAnsi" w:cstheme="minorHAnsi"/>
        </w:rPr>
        <w:t xml:space="preserve"> education. The National Heart Lung and Blood Institute</w:t>
      </w:r>
      <w:r w:rsidR="00A75057">
        <w:rPr>
          <w:rFonts w:asciiTheme="minorHAnsi" w:hAnsiTheme="minorHAnsi" w:cstheme="minorHAnsi"/>
        </w:rPr>
        <w:t xml:space="preserve"> (NHLBI)</w:t>
      </w:r>
      <w:r w:rsidR="008165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under the guidance of the National Institute</w:t>
      </w:r>
      <w:r w:rsidR="007406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of Health</w:t>
      </w:r>
      <w:r w:rsidR="00A75057">
        <w:rPr>
          <w:rFonts w:asciiTheme="minorHAnsi" w:hAnsiTheme="minorHAnsi" w:cstheme="minorHAnsi"/>
        </w:rPr>
        <w:t xml:space="preserve"> (NIH)</w:t>
      </w:r>
      <w:r w:rsidR="0081653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ha</w:t>
      </w:r>
      <w:r w:rsidR="007406A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published guidelines directing the care of patients with asthma.</w:t>
      </w:r>
      <w:r w:rsidR="00E938D6">
        <w:rPr>
          <w:rFonts w:asciiTheme="minorHAnsi" w:hAnsiTheme="minorHAnsi" w:cstheme="minorHAnsi"/>
          <w:vertAlign w:val="superscript"/>
        </w:rPr>
        <w:t>1</w:t>
      </w:r>
      <w:r>
        <w:rPr>
          <w:rFonts w:asciiTheme="minorHAnsi" w:hAnsiTheme="minorHAnsi" w:cstheme="minorHAnsi"/>
        </w:rPr>
        <w:t xml:space="preserve"> These guidelines recommend pharmacists be included as part of the care team to ensure patients achieve </w:t>
      </w:r>
      <w:r w:rsidR="007406A0">
        <w:rPr>
          <w:rFonts w:asciiTheme="minorHAnsi" w:hAnsiTheme="minorHAnsi" w:cstheme="minorHAnsi"/>
        </w:rPr>
        <w:t xml:space="preserve">asthma </w:t>
      </w:r>
      <w:r>
        <w:rPr>
          <w:rFonts w:asciiTheme="minorHAnsi" w:hAnsiTheme="minorHAnsi" w:cstheme="minorHAnsi"/>
        </w:rPr>
        <w:t xml:space="preserve">control. </w:t>
      </w:r>
      <w:r w:rsidRPr="00816534">
        <w:rPr>
          <w:rFonts w:asciiTheme="minorHAnsi" w:hAnsiTheme="minorHAnsi" w:cstheme="minorHAnsi"/>
          <w:b/>
        </w:rPr>
        <w:t>[Insert Name of Pharmacy]</w:t>
      </w:r>
      <w:r>
        <w:rPr>
          <w:rFonts w:asciiTheme="minorHAnsi" w:hAnsiTheme="minorHAnsi" w:cstheme="minorHAnsi"/>
        </w:rPr>
        <w:t xml:space="preserve"> is part of the Wisconsin Pharmacy Quality Collaborative</w:t>
      </w:r>
      <w:r w:rsidR="00AC77CE" w:rsidRPr="00AC77CE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 which</w:t>
      </w:r>
      <w:r w:rsidR="004207A2">
        <w:rPr>
          <w:rFonts w:asciiTheme="minorHAnsi" w:hAnsiTheme="minorHAnsi" w:cstheme="minorHAnsi"/>
        </w:rPr>
        <w:t xml:space="preserve"> is committed to improving health outcomes and reducing health care costs by aligning with evidence-based guidelines. Participating pharmacies</w:t>
      </w:r>
      <w:r w:rsidR="007406A0">
        <w:rPr>
          <w:rFonts w:asciiTheme="minorHAnsi" w:hAnsiTheme="minorHAnsi" w:cstheme="minorHAnsi"/>
        </w:rPr>
        <w:t xml:space="preserve"> and their pharmacists</w:t>
      </w:r>
      <w:r w:rsidR="004207A2">
        <w:rPr>
          <w:rFonts w:asciiTheme="minorHAnsi" w:hAnsiTheme="minorHAnsi" w:cstheme="minorHAnsi"/>
        </w:rPr>
        <w:t xml:space="preserve"> must adhere to a set of quality standards</w:t>
      </w:r>
      <w:r w:rsidR="00AC77CE" w:rsidRPr="00AC77CE">
        <w:rPr>
          <w:rFonts w:asciiTheme="minorHAnsi" w:hAnsiTheme="minorHAnsi" w:cstheme="minorHAnsi"/>
          <w:vertAlign w:val="superscript"/>
        </w:rPr>
        <w:t>3</w:t>
      </w:r>
      <w:r w:rsidR="00AC77CE">
        <w:rPr>
          <w:rFonts w:asciiTheme="minorHAnsi" w:hAnsiTheme="minorHAnsi" w:cstheme="minorHAnsi"/>
        </w:rPr>
        <w:t xml:space="preserve"> </w:t>
      </w:r>
      <w:r w:rsidR="004207A2">
        <w:rPr>
          <w:rFonts w:asciiTheme="minorHAnsi" w:hAnsiTheme="minorHAnsi" w:cstheme="minorHAnsi"/>
        </w:rPr>
        <w:t xml:space="preserve">designed to increase the quality of pharmacy services provided and maximize patient safety in the medication use process. </w:t>
      </w:r>
      <w:r w:rsidR="004207A2" w:rsidRPr="00816534">
        <w:rPr>
          <w:rFonts w:asciiTheme="minorHAnsi" w:hAnsiTheme="minorHAnsi" w:cstheme="minorHAnsi"/>
          <w:b/>
        </w:rPr>
        <w:t>[Insert Name of Pharmacy]</w:t>
      </w:r>
      <w:r w:rsidR="004207A2">
        <w:rPr>
          <w:rFonts w:asciiTheme="minorHAnsi" w:hAnsiTheme="minorHAnsi" w:cstheme="minorHAnsi"/>
        </w:rPr>
        <w:t xml:space="preserve"> routinely provides Medication Therapy Management (MTM) services </w:t>
      </w:r>
      <w:r w:rsidR="004F439F">
        <w:rPr>
          <w:rFonts w:asciiTheme="minorHAnsi" w:hAnsiTheme="minorHAnsi" w:cstheme="minorHAnsi"/>
        </w:rPr>
        <w:t>and is interested in entering into this CPA.</w:t>
      </w:r>
    </w:p>
    <w:p w14:paraId="25417289" w14:textId="77777777" w:rsidR="00DC2013" w:rsidRDefault="00DC2013" w:rsidP="00DC2013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</w:p>
    <w:p w14:paraId="17F28197" w14:textId="77777777" w:rsidR="0079019E" w:rsidRDefault="0079019E" w:rsidP="00DC2013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Purpose</w:t>
      </w:r>
    </w:p>
    <w:p w14:paraId="4D6234ED" w14:textId="77777777" w:rsidR="007F377C" w:rsidRPr="00DB3BDD" w:rsidRDefault="007F377C" w:rsidP="00A23DDE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  <w:shd w:val="clear" w:color="auto" w:fill="FFFFAA"/>
        </w:rPr>
      </w:pPr>
      <w:r w:rsidRPr="00DB3BDD">
        <w:rPr>
          <w:rFonts w:asciiTheme="minorHAnsi" w:hAnsiTheme="minorHAnsi" w:cstheme="minorHAnsi"/>
        </w:rPr>
        <w:t xml:space="preserve">Wisconsin state law allows pharmacists to practice under a Collaborative Practice Agreement with individual physicians (Statute 450.033 </w:t>
      </w:r>
      <w:r w:rsidRPr="00DB3BDD">
        <w:rPr>
          <w:rStyle w:val="qstitlesection"/>
          <w:rFonts w:asciiTheme="minorHAnsi" w:hAnsiTheme="minorHAnsi" w:cstheme="minorHAnsi"/>
          <w:bCs/>
          <w:i/>
          <w:color w:val="000000"/>
        </w:rPr>
        <w:t>Services delegated by physician: A pharmacist may perform any patient care service delegated to the pharmacist by a physician, as defined in s. 448.01(5</w:t>
      </w:r>
      <w:r w:rsidR="00816534">
        <w:rPr>
          <w:rStyle w:val="qstitlesection"/>
          <w:rFonts w:asciiTheme="minorHAnsi" w:hAnsiTheme="minorHAnsi" w:cstheme="minorHAnsi"/>
          <w:bCs/>
          <w:i/>
          <w:color w:val="000000"/>
        </w:rPr>
        <w:t>).</w:t>
      </w:r>
      <w:r w:rsidRPr="00DB3BDD">
        <w:rPr>
          <w:rFonts w:asciiTheme="minorHAnsi" w:hAnsiTheme="minorHAnsi" w:cstheme="minorHAnsi"/>
          <w:shd w:val="clear" w:color="auto" w:fill="FFFFAA"/>
        </w:rPr>
        <w:t xml:space="preserve"> </w:t>
      </w:r>
    </w:p>
    <w:p w14:paraId="4B955558" w14:textId="77777777" w:rsidR="007F377C" w:rsidRPr="00DB3BDD" w:rsidRDefault="007F377C" w:rsidP="00A23DDE">
      <w:pPr>
        <w:pStyle w:val="BodyText2"/>
        <w:autoSpaceDE/>
        <w:autoSpaceDN/>
        <w:adjustRightInd/>
        <w:spacing w:after="120"/>
        <w:ind w:left="720" w:right="0"/>
        <w:rPr>
          <w:rFonts w:asciiTheme="minorHAnsi" w:hAnsiTheme="minorHAnsi" w:cstheme="minorHAnsi"/>
        </w:rPr>
      </w:pPr>
      <w:r w:rsidRPr="00DB3BDD">
        <w:rPr>
          <w:rFonts w:asciiTheme="minorHAnsi" w:hAnsiTheme="minorHAnsi" w:cstheme="minorHAnsi"/>
        </w:rPr>
        <w:t>448.01</w:t>
      </w:r>
      <w:r w:rsidRPr="00DB3BDD">
        <w:rPr>
          <w:rFonts w:asciiTheme="minorHAnsi" w:hAnsiTheme="minorHAnsi" w:cstheme="minorHAnsi"/>
        </w:rPr>
        <w:t> </w:t>
      </w:r>
      <w:r w:rsidRPr="00DB3BDD">
        <w:rPr>
          <w:rFonts w:asciiTheme="minorHAnsi" w:hAnsiTheme="minorHAnsi" w:cstheme="minorHAnsi"/>
        </w:rPr>
        <w:t xml:space="preserve"> Definitions. In this chapter:  </w:t>
      </w:r>
      <w:r w:rsidRPr="00DB3BDD">
        <w:rPr>
          <w:rFonts w:asciiTheme="minorHAnsi" w:hAnsiTheme="minorHAnsi" w:cstheme="minorHAnsi"/>
          <w:bCs/>
        </w:rPr>
        <w:t>(5)</w:t>
      </w:r>
      <w:r w:rsidRPr="00DB3BDD">
        <w:rPr>
          <w:rFonts w:asciiTheme="minorHAnsi" w:hAnsiTheme="minorHAnsi" w:cstheme="minorHAnsi"/>
        </w:rPr>
        <w:t> </w:t>
      </w:r>
      <w:r w:rsidRPr="00DB3BDD">
        <w:rPr>
          <w:rFonts w:asciiTheme="minorHAnsi" w:hAnsiTheme="minorHAnsi" w:cstheme="minorHAnsi"/>
        </w:rPr>
        <w:t>”Physician” means an individual possessing the degree of doctor of medicine or doctor of osteopathy or an equivalent degree as determined by the medical examining board, and holding a license granted by the medical examining board.</w:t>
      </w:r>
    </w:p>
    <w:p w14:paraId="3AF7E45D" w14:textId="4C56E992" w:rsidR="007F377C" w:rsidRPr="001D4EE7" w:rsidRDefault="007F377C" w:rsidP="00A23DDE">
      <w:pPr>
        <w:tabs>
          <w:tab w:val="left" w:pos="720"/>
        </w:tabs>
        <w:ind w:left="360"/>
      </w:pPr>
      <w:r w:rsidRPr="001D4EE7">
        <w:t>It is the intent of this document to authorize the pharmacist</w:t>
      </w:r>
      <w:r w:rsidR="00DB3BDD">
        <w:t xml:space="preserve">s employed by </w:t>
      </w:r>
      <w:r w:rsidR="00DB3BDD" w:rsidRPr="00816534">
        <w:rPr>
          <w:b/>
        </w:rPr>
        <w:t>[Insert Name of Pharmacy]</w:t>
      </w:r>
      <w:r w:rsidRPr="001D4EE7">
        <w:t xml:space="preserve"> to work in a collaborative fashion with and under the direct supervision of the</w:t>
      </w:r>
      <w:r w:rsidR="00DB3BDD">
        <w:t xml:space="preserve"> physician(s) listed below.  This</w:t>
      </w:r>
      <w:r w:rsidRPr="001D4EE7">
        <w:t xml:space="preserve"> document </w:t>
      </w:r>
      <w:r w:rsidR="007406A0">
        <w:t xml:space="preserve">establishes a framework and </w:t>
      </w:r>
      <w:r w:rsidRPr="001D4EE7">
        <w:t xml:space="preserve">guidelines for collaboration between the physician and pharmacist.  </w:t>
      </w:r>
    </w:p>
    <w:p w14:paraId="5300A3FE" w14:textId="77777777" w:rsidR="00085CF9" w:rsidRDefault="00085CF9" w:rsidP="0079019E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  <w:b/>
          <w:bCs/>
        </w:rPr>
      </w:pPr>
    </w:p>
    <w:p w14:paraId="5AA029CE" w14:textId="77777777" w:rsidR="0079019E" w:rsidRDefault="0079019E" w:rsidP="00DC2013">
      <w:pPr>
        <w:pStyle w:val="BodyText2"/>
        <w:autoSpaceDE/>
        <w:autoSpaceDN/>
        <w:adjustRightInd/>
        <w:spacing w:after="120"/>
        <w:ind w:righ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Goals</w:t>
      </w:r>
    </w:p>
    <w:p w14:paraId="4D709834" w14:textId="77777777" w:rsidR="007F377C" w:rsidRPr="001D4EE7" w:rsidRDefault="007F377C" w:rsidP="00A23DDE">
      <w:pPr>
        <w:ind w:left="360"/>
      </w:pPr>
      <w:r w:rsidRPr="001D4EE7">
        <w:t xml:space="preserve">The goals of this agreement are to: </w:t>
      </w:r>
    </w:p>
    <w:p w14:paraId="738BF0F5" w14:textId="30CCC8C6" w:rsidR="00DB3BDD" w:rsidRDefault="00DB3BDD" w:rsidP="007F377C">
      <w:pPr>
        <w:numPr>
          <w:ilvl w:val="0"/>
          <w:numId w:val="1"/>
        </w:numPr>
        <w:spacing w:after="0" w:line="240" w:lineRule="auto"/>
      </w:pPr>
      <w:r>
        <w:t>Allow pharmacists to conduct a Comprehensive Medication Review and Assessment (CMR/A</w:t>
      </w:r>
      <w:r w:rsidR="002E0EC9">
        <w:t xml:space="preserve">) session with patients who </w:t>
      </w:r>
      <w:r>
        <w:t xml:space="preserve">have </w:t>
      </w:r>
      <w:r w:rsidRPr="002E0EC9">
        <w:t>asthma</w:t>
      </w:r>
      <w:r w:rsidR="00D46AD6" w:rsidRPr="002E0EC9">
        <w:t xml:space="preserve"> that </w:t>
      </w:r>
      <w:r w:rsidR="002E0EC9" w:rsidRPr="002E0EC9">
        <w:t xml:space="preserve">may be </w:t>
      </w:r>
      <w:r w:rsidR="00B532A9">
        <w:t>sub-optimally</w:t>
      </w:r>
      <w:r w:rsidR="0090717B">
        <w:t xml:space="preserve"> </w:t>
      </w:r>
      <w:r w:rsidR="00D46AD6" w:rsidRPr="002E0EC9">
        <w:t>controlled</w:t>
      </w:r>
      <w:r w:rsidR="00D46AD6">
        <w:t xml:space="preserve"> (as defined below).</w:t>
      </w:r>
    </w:p>
    <w:p w14:paraId="5AA7E0B0" w14:textId="01E2AF35" w:rsidR="007F377C" w:rsidRPr="001D4EE7" w:rsidRDefault="007F377C" w:rsidP="007F377C">
      <w:pPr>
        <w:numPr>
          <w:ilvl w:val="0"/>
          <w:numId w:val="1"/>
        </w:numPr>
        <w:spacing w:after="0" w:line="240" w:lineRule="auto"/>
      </w:pPr>
      <w:r w:rsidRPr="001D4EE7">
        <w:t xml:space="preserve">Improve efficacy of </w:t>
      </w:r>
      <w:r w:rsidR="007406A0">
        <w:t>asthma regimen</w:t>
      </w:r>
      <w:r w:rsidR="00DB3BDD">
        <w:t xml:space="preserve"> by monitoring adherence</w:t>
      </w:r>
      <w:r w:rsidR="00A23DDE">
        <w:t xml:space="preserve">, </w:t>
      </w:r>
      <w:proofErr w:type="gramStart"/>
      <w:r w:rsidR="00A23DDE">
        <w:t xml:space="preserve">proper </w:t>
      </w:r>
      <w:r w:rsidR="007406A0">
        <w:t xml:space="preserve"> device</w:t>
      </w:r>
      <w:proofErr w:type="gramEnd"/>
      <w:r w:rsidR="007406A0">
        <w:t xml:space="preserve"> </w:t>
      </w:r>
      <w:r w:rsidR="00A23DDE">
        <w:t>use,</w:t>
      </w:r>
      <w:r w:rsidRPr="001D4EE7">
        <w:t xml:space="preserve"> and patient response to current</w:t>
      </w:r>
      <w:r w:rsidR="007406A0">
        <w:t>ly</w:t>
      </w:r>
      <w:r w:rsidRPr="001D4EE7">
        <w:t xml:space="preserve"> </w:t>
      </w:r>
      <w:r w:rsidR="00DB3BDD">
        <w:t>prescribed medications/</w:t>
      </w:r>
      <w:r w:rsidRPr="001D4EE7">
        <w:t xml:space="preserve">therapies. </w:t>
      </w:r>
    </w:p>
    <w:p w14:paraId="7563992D" w14:textId="77777777" w:rsidR="00DB3BDD" w:rsidRDefault="00DB3BDD" w:rsidP="007F377C">
      <w:pPr>
        <w:numPr>
          <w:ilvl w:val="0"/>
          <w:numId w:val="1"/>
        </w:numPr>
        <w:spacing w:after="0" w:line="240" w:lineRule="auto"/>
      </w:pPr>
      <w:r>
        <w:t>Enhance patient</w:t>
      </w:r>
      <w:r w:rsidR="007406A0">
        <w:t>/caregiver</w:t>
      </w:r>
      <w:r>
        <w:t xml:space="preserve"> understanding of their prescribed medication regimen. </w:t>
      </w:r>
    </w:p>
    <w:p w14:paraId="08F83A01" w14:textId="77777777" w:rsidR="007F377C" w:rsidRDefault="00DB3BDD" w:rsidP="00085CF9">
      <w:pPr>
        <w:numPr>
          <w:ilvl w:val="0"/>
          <w:numId w:val="1"/>
        </w:numPr>
        <w:spacing w:after="0" w:line="240" w:lineRule="auto"/>
      </w:pPr>
      <w:r>
        <w:t>Formulate recommendations</w:t>
      </w:r>
      <w:r w:rsidR="00085CF9">
        <w:t xml:space="preserve"> </w:t>
      </w:r>
      <w:r>
        <w:t xml:space="preserve">to </w:t>
      </w:r>
      <w:r w:rsidR="0093300A">
        <w:t xml:space="preserve">optimize </w:t>
      </w:r>
      <w:r>
        <w:t>therapy, when appropriate.</w:t>
      </w:r>
    </w:p>
    <w:p w14:paraId="35D5E625" w14:textId="69EC8A12" w:rsidR="00085CF9" w:rsidRPr="00085CF9" w:rsidRDefault="00085CF9" w:rsidP="00085CF9">
      <w:pPr>
        <w:numPr>
          <w:ilvl w:val="0"/>
          <w:numId w:val="1"/>
        </w:numPr>
        <w:spacing w:after="0" w:line="240" w:lineRule="auto"/>
      </w:pPr>
      <w:r>
        <w:t xml:space="preserve">Assess and triage </w:t>
      </w:r>
      <w:r w:rsidR="00B532A9">
        <w:t>potential</w:t>
      </w:r>
      <w:r w:rsidR="00956C36">
        <w:t xml:space="preserve"> and significant</w:t>
      </w:r>
      <w:r w:rsidR="00B532A9">
        <w:t xml:space="preserve"> </w:t>
      </w:r>
      <w:r>
        <w:t>adverse drug reactions</w:t>
      </w:r>
      <w:r w:rsidR="00B532A9">
        <w:t xml:space="preserve"> to the physician</w:t>
      </w:r>
      <w:r w:rsidR="0090717B">
        <w:t>(s) named in this agre</w:t>
      </w:r>
      <w:r w:rsidR="00B532A9">
        <w:t>ement</w:t>
      </w:r>
      <w:r>
        <w:t>.</w:t>
      </w:r>
    </w:p>
    <w:p w14:paraId="69EAF29B" w14:textId="77777777" w:rsidR="007F377C" w:rsidRPr="001D4EE7" w:rsidRDefault="0093300A" w:rsidP="007F377C">
      <w:pPr>
        <w:numPr>
          <w:ilvl w:val="0"/>
          <w:numId w:val="1"/>
        </w:numPr>
        <w:spacing w:after="0" w:line="240" w:lineRule="auto"/>
      </w:pPr>
      <w:r>
        <w:t xml:space="preserve">Increase collaboration between </w:t>
      </w:r>
      <w:r w:rsidRPr="00816534">
        <w:rPr>
          <w:b/>
        </w:rPr>
        <w:t>[Insert Name of Pharmacy]</w:t>
      </w:r>
      <w:r>
        <w:t xml:space="preserve"> and the physicians named below.</w:t>
      </w:r>
    </w:p>
    <w:p w14:paraId="756A03FD" w14:textId="77777777" w:rsidR="007F377C" w:rsidRDefault="007F377C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D565E8E" w14:textId="77777777" w:rsidR="00DC2013" w:rsidRDefault="00DC2013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F27FF63" w14:textId="77777777" w:rsidR="00966B74" w:rsidRPr="00966B74" w:rsidRDefault="00966B74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Policy:</w:t>
      </w:r>
      <w:r w:rsidRPr="00966B74">
        <w:rPr>
          <w:rFonts w:asciiTheme="minorHAnsi" w:hAnsiTheme="minorHAnsi" w:cstheme="minorHAnsi"/>
          <w:sz w:val="22"/>
        </w:rPr>
        <w:tab/>
      </w:r>
      <w:r w:rsidRPr="00966B74">
        <w:rPr>
          <w:rFonts w:asciiTheme="minorHAnsi" w:hAnsiTheme="minorHAnsi" w:cstheme="minorHAnsi"/>
          <w:sz w:val="22"/>
        </w:rPr>
        <w:tab/>
      </w:r>
    </w:p>
    <w:p w14:paraId="3C7D6A2F" w14:textId="36582443" w:rsidR="00A75057" w:rsidRDefault="00A75057" w:rsidP="00A75057">
      <w:pPr>
        <w:pStyle w:val="BasicParagraph"/>
        <w:suppressAutoHyphens/>
        <w:ind w:left="27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Patients who may have </w:t>
      </w:r>
      <w:r w:rsidR="00085CF9">
        <w:rPr>
          <w:rFonts w:asciiTheme="minorHAnsi" w:hAnsiTheme="minorHAnsi" w:cstheme="minorHAnsi"/>
          <w:bCs/>
          <w:sz w:val="22"/>
        </w:rPr>
        <w:t xml:space="preserve">sub-optimally </w:t>
      </w:r>
      <w:r w:rsidRPr="00085CF9">
        <w:rPr>
          <w:rFonts w:asciiTheme="minorHAnsi" w:hAnsiTheme="minorHAnsi" w:cstheme="minorHAnsi"/>
          <w:bCs/>
          <w:sz w:val="22"/>
        </w:rPr>
        <w:t>controlled asthma</w:t>
      </w:r>
      <w:r>
        <w:rPr>
          <w:rFonts w:asciiTheme="minorHAnsi" w:hAnsiTheme="minorHAnsi" w:cstheme="minorHAnsi"/>
          <w:bCs/>
          <w:sz w:val="22"/>
        </w:rPr>
        <w:t xml:space="preserve"> as defined by the statements immediately below may be </w:t>
      </w:r>
      <w:r w:rsidR="00B532A9">
        <w:rPr>
          <w:rFonts w:asciiTheme="minorHAnsi" w:hAnsiTheme="minorHAnsi" w:cstheme="minorHAnsi"/>
          <w:bCs/>
          <w:sz w:val="22"/>
        </w:rPr>
        <w:t>evaluated</w:t>
      </w:r>
      <w:r>
        <w:rPr>
          <w:rFonts w:asciiTheme="minorHAnsi" w:hAnsiTheme="minorHAnsi" w:cstheme="minorHAnsi"/>
          <w:bCs/>
          <w:sz w:val="22"/>
        </w:rPr>
        <w:t xml:space="preserve"> by the pharmacist for a</w:t>
      </w:r>
      <w:r w:rsidR="00C152B5">
        <w:rPr>
          <w:rFonts w:asciiTheme="minorHAnsi" w:hAnsiTheme="minorHAnsi" w:cstheme="minorHAnsi"/>
          <w:bCs/>
          <w:sz w:val="22"/>
        </w:rPr>
        <w:t>n initial</w:t>
      </w:r>
      <w:r>
        <w:rPr>
          <w:rFonts w:asciiTheme="minorHAnsi" w:hAnsiTheme="minorHAnsi" w:cstheme="minorHAnsi"/>
          <w:bCs/>
          <w:sz w:val="22"/>
        </w:rPr>
        <w:t xml:space="preserve"> CMR/A.</w:t>
      </w:r>
      <w:r w:rsidR="00C152B5">
        <w:rPr>
          <w:rFonts w:asciiTheme="minorHAnsi" w:hAnsiTheme="minorHAnsi" w:cstheme="minorHAnsi"/>
          <w:bCs/>
          <w:sz w:val="22"/>
        </w:rPr>
        <w:t xml:space="preserve"> Patients who have received an initial CMR/</w:t>
      </w:r>
      <w:proofErr w:type="gramStart"/>
      <w:r w:rsidR="00C152B5">
        <w:rPr>
          <w:rFonts w:asciiTheme="minorHAnsi" w:hAnsiTheme="minorHAnsi" w:cstheme="minorHAnsi"/>
          <w:bCs/>
          <w:sz w:val="22"/>
        </w:rPr>
        <w:t>A</w:t>
      </w:r>
      <w:proofErr w:type="gramEnd"/>
      <w:r w:rsidR="00C152B5">
        <w:rPr>
          <w:rFonts w:asciiTheme="minorHAnsi" w:hAnsiTheme="minorHAnsi" w:cstheme="minorHAnsi"/>
          <w:bCs/>
          <w:sz w:val="22"/>
        </w:rPr>
        <w:t xml:space="preserve"> are automatically eligible to receive follow-up visits</w:t>
      </w:r>
      <w:r w:rsidR="00560833">
        <w:rPr>
          <w:rFonts w:asciiTheme="minorHAnsi" w:hAnsiTheme="minorHAnsi" w:cstheme="minorHAnsi"/>
          <w:bCs/>
          <w:sz w:val="22"/>
        </w:rPr>
        <w:t>, if necessary</w:t>
      </w:r>
      <w:r w:rsidR="00C152B5">
        <w:rPr>
          <w:rFonts w:asciiTheme="minorHAnsi" w:hAnsiTheme="minorHAnsi" w:cstheme="minorHAnsi"/>
          <w:bCs/>
          <w:sz w:val="22"/>
        </w:rPr>
        <w:t>.</w:t>
      </w:r>
      <w:r>
        <w:rPr>
          <w:rFonts w:asciiTheme="minorHAnsi" w:hAnsiTheme="minorHAnsi" w:cstheme="minorHAnsi"/>
          <w:bCs/>
          <w:sz w:val="22"/>
        </w:rPr>
        <w:t xml:space="preserve"> </w:t>
      </w:r>
    </w:p>
    <w:p w14:paraId="325F523C" w14:textId="77777777" w:rsidR="00A75057" w:rsidRPr="00DC2013" w:rsidRDefault="00A75057" w:rsidP="00A75057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Refills of short-acting beta-agonist (SABA) exceeding </w:t>
      </w:r>
      <w:r w:rsidRPr="00A75057">
        <w:rPr>
          <w:rFonts w:asciiTheme="minorHAnsi" w:hAnsiTheme="minorHAnsi" w:cstheme="minorHAnsi"/>
          <w:bCs/>
          <w:sz w:val="22"/>
          <w:u w:val="single"/>
        </w:rPr>
        <w:t xml:space="preserve">2 </w:t>
      </w:r>
      <w:proofErr w:type="gramStart"/>
      <w:r w:rsidRPr="00A75057">
        <w:rPr>
          <w:rFonts w:asciiTheme="minorHAnsi" w:hAnsiTheme="minorHAnsi" w:cstheme="minorHAnsi"/>
          <w:bCs/>
          <w:sz w:val="22"/>
          <w:u w:val="single"/>
        </w:rPr>
        <w:t>canisters</w:t>
      </w:r>
      <w:r w:rsidR="00B532A9">
        <w:rPr>
          <w:rFonts w:asciiTheme="minorHAnsi" w:hAnsiTheme="minorHAnsi" w:cstheme="minorHAnsi"/>
          <w:bCs/>
          <w:sz w:val="22"/>
          <w:u w:val="single"/>
        </w:rPr>
        <w:t>(</w:t>
      </w:r>
      <w:proofErr w:type="gramEnd"/>
      <w:r w:rsidR="00B532A9">
        <w:rPr>
          <w:rFonts w:asciiTheme="minorHAnsi" w:hAnsiTheme="minorHAnsi" w:cstheme="minorHAnsi"/>
          <w:bCs/>
          <w:sz w:val="22"/>
          <w:u w:val="single"/>
        </w:rPr>
        <w:t>200 puffs per canister)</w:t>
      </w:r>
      <w:r w:rsidRPr="00A75057">
        <w:rPr>
          <w:rFonts w:asciiTheme="minorHAnsi" w:hAnsiTheme="minorHAnsi" w:cstheme="minorHAnsi"/>
          <w:bCs/>
          <w:sz w:val="22"/>
          <w:u w:val="single"/>
        </w:rPr>
        <w:t xml:space="preserve"> in 90 days</w:t>
      </w:r>
      <w:r w:rsidR="00B83237">
        <w:rPr>
          <w:rFonts w:asciiTheme="minorHAnsi" w:hAnsiTheme="minorHAnsi" w:cstheme="minorHAnsi"/>
          <w:bCs/>
          <w:sz w:val="22"/>
          <w:u w:val="single"/>
        </w:rPr>
        <w:t>.</w:t>
      </w:r>
    </w:p>
    <w:p w14:paraId="0DE29461" w14:textId="77777777" w:rsidR="0038176D" w:rsidRPr="00A75057" w:rsidRDefault="0038176D" w:rsidP="00A75057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  <w:u w:val="single"/>
        </w:rPr>
        <w:lastRenderedPageBreak/>
        <w:t>Refills of monthly asthma controller medications less than 3 times in the past six months</w:t>
      </w:r>
    </w:p>
    <w:p w14:paraId="4862F2C7" w14:textId="7A6266E5" w:rsidR="00A75057" w:rsidRPr="00D04806" w:rsidRDefault="00A75057" w:rsidP="00A75057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Asthma Control Test</w:t>
      </w:r>
      <w:proofErr w:type="gramStart"/>
      <w:r>
        <w:rPr>
          <w:rFonts w:asciiTheme="minorHAnsi" w:hAnsiTheme="minorHAnsi" w:cstheme="minorHAnsi"/>
          <w:bCs/>
          <w:sz w:val="22"/>
        </w:rPr>
        <w:t xml:space="preserve">™ </w:t>
      </w:r>
      <w:r w:rsidR="00B532A9">
        <w:rPr>
          <w:rFonts w:asciiTheme="minorHAnsi" w:hAnsiTheme="minorHAnsi" w:cstheme="minorHAnsi"/>
          <w:bCs/>
          <w:sz w:val="22"/>
        </w:rPr>
        <w:t xml:space="preserve"> or</w:t>
      </w:r>
      <w:proofErr w:type="gramEnd"/>
      <w:r w:rsidR="00B532A9">
        <w:rPr>
          <w:rFonts w:asciiTheme="minorHAnsi" w:hAnsiTheme="minorHAnsi" w:cstheme="minorHAnsi"/>
          <w:bCs/>
          <w:sz w:val="22"/>
        </w:rPr>
        <w:t xml:space="preserve"> Childhood Asthma Control Test</w:t>
      </w:r>
      <w:r w:rsidR="0090717B">
        <w:rPr>
          <w:rFonts w:asciiTheme="minorHAnsi" w:hAnsiTheme="minorHAnsi" w:cstheme="minorHAnsi"/>
          <w:bCs/>
          <w:sz w:val="22"/>
        </w:rPr>
        <w:t>™</w:t>
      </w:r>
      <w:r w:rsidR="00B532A9"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 xml:space="preserve">score of </w:t>
      </w:r>
      <w:r w:rsidRPr="00A75057">
        <w:rPr>
          <w:rFonts w:asciiTheme="minorHAnsi" w:hAnsiTheme="minorHAnsi" w:cstheme="minorHAnsi"/>
          <w:bCs/>
          <w:sz w:val="22"/>
          <w:u w:val="single"/>
        </w:rPr>
        <w:t>&lt;</w:t>
      </w:r>
      <w:r w:rsidR="00B83237">
        <w:rPr>
          <w:rFonts w:asciiTheme="minorHAnsi" w:hAnsiTheme="minorHAnsi" w:cstheme="minorHAnsi"/>
          <w:bCs/>
          <w:sz w:val="22"/>
        </w:rPr>
        <w:t xml:space="preserve">19. </w:t>
      </w:r>
      <w:r w:rsidR="00B83237" w:rsidRPr="00D04806">
        <w:rPr>
          <w:rFonts w:asciiTheme="minorHAnsi" w:hAnsiTheme="minorHAnsi" w:cstheme="minorHAnsi"/>
          <w:bCs/>
          <w:sz w:val="22"/>
        </w:rPr>
        <w:t>[S</w:t>
      </w:r>
      <w:r w:rsidRPr="00D04806">
        <w:rPr>
          <w:rFonts w:asciiTheme="minorHAnsi" w:hAnsiTheme="minorHAnsi" w:cstheme="minorHAnsi"/>
          <w:bCs/>
          <w:sz w:val="22"/>
        </w:rPr>
        <w:t>ee Appendix 1]</w:t>
      </w:r>
    </w:p>
    <w:p w14:paraId="17089636" w14:textId="77777777" w:rsidR="00A75057" w:rsidRDefault="00A75057" w:rsidP="00A75057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Classification of “Not Well Controlled” or “Very Poorly Controlled” as defined by the NIH Guidelines for Asthma Control Assessment and Therapy</w:t>
      </w:r>
      <w:r w:rsidR="00B83237">
        <w:rPr>
          <w:rFonts w:asciiTheme="minorHAnsi" w:hAnsiTheme="minorHAnsi" w:cstheme="minorHAnsi"/>
          <w:bCs/>
          <w:sz w:val="22"/>
        </w:rPr>
        <w:t>.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D04806">
        <w:rPr>
          <w:rFonts w:asciiTheme="minorHAnsi" w:hAnsiTheme="minorHAnsi" w:cstheme="minorHAnsi"/>
          <w:bCs/>
          <w:sz w:val="22"/>
        </w:rPr>
        <w:t>[</w:t>
      </w:r>
      <w:r w:rsidR="00B83237" w:rsidRPr="00D04806">
        <w:rPr>
          <w:rFonts w:asciiTheme="minorHAnsi" w:hAnsiTheme="minorHAnsi" w:cstheme="minorHAnsi"/>
          <w:bCs/>
          <w:sz w:val="22"/>
        </w:rPr>
        <w:t>See Appendix 2</w:t>
      </w:r>
      <w:r w:rsidRPr="00D04806">
        <w:rPr>
          <w:rFonts w:asciiTheme="minorHAnsi" w:hAnsiTheme="minorHAnsi" w:cstheme="minorHAnsi"/>
          <w:bCs/>
          <w:sz w:val="22"/>
        </w:rPr>
        <w:t>]</w:t>
      </w:r>
    </w:p>
    <w:p w14:paraId="3F7747E5" w14:textId="77777777" w:rsidR="00A75057" w:rsidRDefault="00A75057" w:rsidP="00A75057">
      <w:pPr>
        <w:pStyle w:val="BasicParagraph"/>
        <w:numPr>
          <w:ilvl w:val="0"/>
          <w:numId w:val="2"/>
        </w:numPr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Recent (within 14 days) discharge from the hospital or emergency department due to an asthma exacerbation</w:t>
      </w:r>
      <w:r w:rsidR="00B83237">
        <w:rPr>
          <w:rFonts w:asciiTheme="minorHAnsi" w:hAnsiTheme="minorHAnsi" w:cstheme="minorHAnsi"/>
          <w:bCs/>
          <w:sz w:val="22"/>
        </w:rPr>
        <w:t>.</w:t>
      </w:r>
    </w:p>
    <w:p w14:paraId="5E0DF175" w14:textId="77777777" w:rsidR="00956C36" w:rsidRDefault="00956C36" w:rsidP="00DC2013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57F50A77" w14:textId="15762F3A" w:rsidR="000E6C36" w:rsidRDefault="0015563F" w:rsidP="000E6C36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0E6C36">
        <w:rPr>
          <w:rFonts w:asciiTheme="minorHAnsi" w:hAnsiTheme="minorHAnsi" w:cstheme="minorHAnsi"/>
        </w:rPr>
        <w:t>CMR/A</w:t>
      </w:r>
      <w:r>
        <w:rPr>
          <w:rFonts w:asciiTheme="minorHAnsi" w:hAnsiTheme="minorHAnsi" w:cstheme="minorHAnsi"/>
        </w:rPr>
        <w:t xml:space="preserve"> consists of</w:t>
      </w:r>
      <w:r w:rsidR="000E6C36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face-to-face visit with the patient (and/</w:t>
      </w:r>
      <w:r w:rsidR="000E6C36">
        <w:rPr>
          <w:rFonts w:asciiTheme="minorHAnsi" w:hAnsiTheme="minorHAnsi" w:cstheme="minorHAnsi"/>
        </w:rPr>
        <w:t>or the patient’s caregiver) to:</w:t>
      </w:r>
    </w:p>
    <w:p w14:paraId="6E9F65D2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15563F">
        <w:rPr>
          <w:rFonts w:asciiTheme="minorHAnsi" w:hAnsiTheme="minorHAnsi" w:cstheme="minorHAnsi"/>
        </w:rPr>
        <w:t>ssess/review prescription and</w:t>
      </w:r>
      <w:r>
        <w:rPr>
          <w:rFonts w:asciiTheme="minorHAnsi" w:hAnsiTheme="minorHAnsi" w:cstheme="minorHAnsi"/>
        </w:rPr>
        <w:t xml:space="preserve"> over-the-counter medications</w:t>
      </w:r>
    </w:p>
    <w:p w14:paraId="74122D63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15563F">
        <w:rPr>
          <w:rFonts w:asciiTheme="minorHAnsi" w:hAnsiTheme="minorHAnsi" w:cstheme="minorHAnsi"/>
        </w:rPr>
        <w:t>eview and</w:t>
      </w:r>
      <w:r>
        <w:rPr>
          <w:rFonts w:asciiTheme="minorHAnsi" w:hAnsiTheme="minorHAnsi" w:cstheme="minorHAnsi"/>
        </w:rPr>
        <w:t xml:space="preserve"> promote medication adherence</w:t>
      </w:r>
    </w:p>
    <w:p w14:paraId="786411CB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</w:t>
      </w:r>
      <w:r w:rsidR="0015563F">
        <w:rPr>
          <w:rFonts w:asciiTheme="minorHAnsi" w:hAnsiTheme="minorHAnsi" w:cstheme="minorHAnsi"/>
        </w:rPr>
        <w:t xml:space="preserve"> medication device</w:t>
      </w:r>
      <w:r>
        <w:rPr>
          <w:rFonts w:asciiTheme="minorHAnsi" w:hAnsiTheme="minorHAnsi" w:cstheme="minorHAnsi"/>
        </w:rPr>
        <w:t xml:space="preserve"> usage and provide reinstruction if needed</w:t>
      </w:r>
    </w:p>
    <w:p w14:paraId="320B8911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15563F">
        <w:rPr>
          <w:rFonts w:asciiTheme="minorHAnsi" w:hAnsiTheme="minorHAnsi" w:cstheme="minorHAnsi"/>
        </w:rPr>
        <w:t>dentify p</w:t>
      </w:r>
      <w:r>
        <w:rPr>
          <w:rFonts w:asciiTheme="minorHAnsi" w:hAnsiTheme="minorHAnsi" w:cstheme="minorHAnsi"/>
        </w:rPr>
        <w:t>otential drug therapy problems</w:t>
      </w:r>
    </w:p>
    <w:p w14:paraId="7F960F70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15563F">
        <w:rPr>
          <w:rFonts w:asciiTheme="minorHAnsi" w:hAnsiTheme="minorHAnsi" w:cstheme="minorHAnsi"/>
        </w:rPr>
        <w:t>xplore more cost</w:t>
      </w:r>
      <w:r>
        <w:rPr>
          <w:rFonts w:asciiTheme="minorHAnsi" w:hAnsiTheme="minorHAnsi" w:cstheme="minorHAnsi"/>
        </w:rPr>
        <w:t xml:space="preserve"> effective medication regimens</w:t>
      </w:r>
    </w:p>
    <w:p w14:paraId="3ADB39B8" w14:textId="77777777" w:rsidR="000E6C36" w:rsidRDefault="000E6C36" w:rsidP="00DC2013">
      <w:pPr>
        <w:pStyle w:val="BodyText2"/>
        <w:numPr>
          <w:ilvl w:val="0"/>
          <w:numId w:val="4"/>
        </w:numPr>
        <w:autoSpaceDE/>
        <w:autoSpaceDN/>
        <w:adjustRightInd/>
        <w:spacing w:after="120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medication efficacy</w:t>
      </w:r>
    </w:p>
    <w:p w14:paraId="0C55A7CE" w14:textId="77777777" w:rsidR="0015563F" w:rsidRDefault="0015563F" w:rsidP="000E6C36">
      <w:pPr>
        <w:pStyle w:val="BodyText2"/>
        <w:autoSpaceDE/>
        <w:autoSpaceDN/>
        <w:adjustRightInd/>
        <w:spacing w:after="120"/>
        <w:ind w:left="36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the conclusion of each visit, the patient receives a Medication Action Plan and an updated Personal Medication List. The physician receives this visit summary</w:t>
      </w:r>
      <w:r w:rsidR="000E6C36">
        <w:rPr>
          <w:rFonts w:asciiTheme="minorHAnsi" w:hAnsiTheme="minorHAnsi" w:cstheme="minorHAnsi"/>
        </w:rPr>
        <w:t xml:space="preserve">, an updated list of all the medications/OTCs the patient is taking, as well as a listing of the patient’s refills of asthma controller and reliever medications in the past 12 months. This communication </w:t>
      </w:r>
      <w:r>
        <w:rPr>
          <w:rFonts w:asciiTheme="minorHAnsi" w:hAnsiTheme="minorHAnsi" w:cstheme="minorHAnsi"/>
        </w:rPr>
        <w:t xml:space="preserve">may or may not include recommendations for change. Pharmacists are not allowed to make any changes to the patient’s medication regimen without health care prescriber approval. Pharmacists </w:t>
      </w:r>
      <w:r w:rsidRPr="002E0EC9">
        <w:rPr>
          <w:rFonts w:asciiTheme="minorHAnsi" w:hAnsiTheme="minorHAnsi" w:cstheme="minorHAnsi"/>
        </w:rPr>
        <w:t>strongly encourage patients to see their physician for follow-up care or when concerns arise.</w:t>
      </w:r>
      <w:r>
        <w:rPr>
          <w:rFonts w:asciiTheme="minorHAnsi" w:hAnsiTheme="minorHAnsi" w:cstheme="minorHAnsi"/>
        </w:rPr>
        <w:t xml:space="preserve"> The care provided by the pharmacist is designed to complement, not replace, the usual and standard care provided by the patient’s physician.</w:t>
      </w:r>
    </w:p>
    <w:p w14:paraId="4D1344F4" w14:textId="77777777" w:rsidR="00956C36" w:rsidRDefault="00956C36" w:rsidP="00DC2013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78CBE2EB" w14:textId="77777777" w:rsidR="00CE0EF4" w:rsidRPr="001D4EE7" w:rsidRDefault="00CE0EF4" w:rsidP="00CE0EF4">
      <w:pPr>
        <w:tabs>
          <w:tab w:val="left" w:pos="720"/>
        </w:tabs>
        <w:ind w:left="360"/>
      </w:pPr>
      <w:r w:rsidRPr="001D4EE7">
        <w:t>This agreement is voluntary and may be terminated</w:t>
      </w:r>
      <w:r>
        <w:t xml:space="preserve"> </w:t>
      </w:r>
      <w:r w:rsidRPr="00CE0EF4">
        <w:rPr>
          <w:u w:val="single"/>
        </w:rPr>
        <w:t>via written request</w:t>
      </w:r>
      <w:r w:rsidRPr="001D4EE7">
        <w:t xml:space="preserve"> at any time by either party.  This document will be reviewed by both parties at least </w:t>
      </w:r>
      <w:r w:rsidRPr="007213FF">
        <w:rPr>
          <w:b/>
        </w:rPr>
        <w:t>[annually</w:t>
      </w:r>
      <w:r w:rsidR="007213FF">
        <w:rPr>
          <w:b/>
        </w:rPr>
        <w:t xml:space="preserve"> or insert other time frame here</w:t>
      </w:r>
      <w:r w:rsidRPr="007213FF">
        <w:rPr>
          <w:b/>
        </w:rPr>
        <w:t>]</w:t>
      </w:r>
      <w:r w:rsidRPr="001D4EE7">
        <w:t>.</w:t>
      </w:r>
    </w:p>
    <w:p w14:paraId="40CD3C85" w14:textId="77777777" w:rsidR="00D46AD6" w:rsidRDefault="00D46AD6" w:rsidP="00A23DDE">
      <w:pPr>
        <w:pStyle w:val="BasicParagraph"/>
        <w:suppressAutoHyphens/>
        <w:ind w:left="270"/>
        <w:rPr>
          <w:rFonts w:asciiTheme="minorHAnsi" w:hAnsiTheme="minorHAnsi" w:cstheme="minorHAnsi"/>
          <w:b/>
          <w:bCs/>
          <w:sz w:val="22"/>
        </w:rPr>
      </w:pPr>
    </w:p>
    <w:p w14:paraId="1C978A91" w14:textId="77777777" w:rsidR="00966B74" w:rsidRPr="00966B74" w:rsidRDefault="00966B74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t>Signatures of participating physicians:</w:t>
      </w:r>
    </w:p>
    <w:p w14:paraId="5FDC7646" w14:textId="77777777" w:rsidR="00966B7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This agreement is e</w:t>
      </w:r>
      <w:r w:rsidR="00966B74" w:rsidRPr="00966B74">
        <w:rPr>
          <w:rFonts w:asciiTheme="minorHAnsi" w:hAnsiTheme="minorHAnsi" w:cstheme="minorHAnsi"/>
          <w:sz w:val="22"/>
        </w:rPr>
        <w:t xml:space="preserve">ffective date </w:t>
      </w:r>
      <w:r>
        <w:rPr>
          <w:rFonts w:asciiTheme="minorHAnsi" w:hAnsiTheme="minorHAnsi" w:cstheme="minorHAnsi"/>
          <w:sz w:val="22"/>
        </w:rPr>
        <w:t xml:space="preserve">as </w:t>
      </w:r>
      <w:r w:rsidR="00966B74" w:rsidRPr="00966B74">
        <w:rPr>
          <w:rFonts w:asciiTheme="minorHAnsi" w:hAnsiTheme="minorHAnsi" w:cstheme="minorHAnsi"/>
          <w:sz w:val="22"/>
        </w:rPr>
        <w:t>of</w:t>
      </w:r>
      <w:r>
        <w:rPr>
          <w:rFonts w:asciiTheme="minorHAnsi" w:hAnsiTheme="minorHAnsi" w:cstheme="minorHAnsi"/>
          <w:sz w:val="22"/>
        </w:rPr>
        <w:t xml:space="preserve"> the dates set forth below:</w:t>
      </w:r>
    </w:p>
    <w:p w14:paraId="27B24681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_________________________________________ State License Number: _____________________</w:t>
      </w:r>
    </w:p>
    <w:p w14:paraId="7D478BFD" w14:textId="77777777" w:rsidR="009B0E94" w:rsidRPr="00966B7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_____________________________________</w:t>
      </w:r>
      <w:proofErr w:type="gramStart"/>
      <w:r>
        <w:rPr>
          <w:rFonts w:asciiTheme="minorHAnsi" w:hAnsiTheme="minorHAnsi" w:cstheme="minorHAnsi"/>
          <w:sz w:val="22"/>
        </w:rPr>
        <w:t>_  Date</w:t>
      </w:r>
      <w:proofErr w:type="gramEnd"/>
      <w:r>
        <w:rPr>
          <w:rFonts w:asciiTheme="minorHAnsi" w:hAnsiTheme="minorHAnsi" w:cstheme="minorHAnsi"/>
          <w:sz w:val="22"/>
        </w:rPr>
        <w:t xml:space="preserve"> Signed: _____________________________</w:t>
      </w:r>
    </w:p>
    <w:p w14:paraId="3CD273E7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70B53CA8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73E4EDC4" w14:textId="77777777" w:rsidR="009B0E9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_________________________________________ State License Number: _____________________</w:t>
      </w:r>
    </w:p>
    <w:p w14:paraId="30827868" w14:textId="77777777" w:rsidR="009B0E94" w:rsidRPr="00966B7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_____________________________________</w:t>
      </w:r>
      <w:proofErr w:type="gramStart"/>
      <w:r>
        <w:rPr>
          <w:rFonts w:asciiTheme="minorHAnsi" w:hAnsiTheme="minorHAnsi" w:cstheme="minorHAnsi"/>
          <w:sz w:val="22"/>
        </w:rPr>
        <w:t>_  Date</w:t>
      </w:r>
      <w:proofErr w:type="gramEnd"/>
      <w:r>
        <w:rPr>
          <w:rFonts w:asciiTheme="minorHAnsi" w:hAnsiTheme="minorHAnsi" w:cstheme="minorHAnsi"/>
          <w:sz w:val="22"/>
        </w:rPr>
        <w:t xml:space="preserve"> Signed: _____________________________</w:t>
      </w:r>
    </w:p>
    <w:p w14:paraId="1851FF88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1CC4BE67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42C93F86" w14:textId="77777777" w:rsidR="009B0E9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_________________________________________ State License Number: _____________________</w:t>
      </w:r>
    </w:p>
    <w:p w14:paraId="3D96C3CF" w14:textId="77777777" w:rsidR="009B0E94" w:rsidRPr="00966B7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_____________________________________</w:t>
      </w:r>
      <w:proofErr w:type="gramStart"/>
      <w:r>
        <w:rPr>
          <w:rFonts w:asciiTheme="minorHAnsi" w:hAnsiTheme="minorHAnsi" w:cstheme="minorHAnsi"/>
          <w:sz w:val="22"/>
        </w:rPr>
        <w:t>_  Date</w:t>
      </w:r>
      <w:proofErr w:type="gramEnd"/>
      <w:r>
        <w:rPr>
          <w:rFonts w:asciiTheme="minorHAnsi" w:hAnsiTheme="minorHAnsi" w:cstheme="minorHAnsi"/>
          <w:sz w:val="22"/>
        </w:rPr>
        <w:t xml:space="preserve"> Signed: _____________________________</w:t>
      </w:r>
    </w:p>
    <w:p w14:paraId="5BE2A4A7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20D38D4F" w14:textId="77777777" w:rsidR="009B0E94" w:rsidRDefault="009B0E94" w:rsidP="00966B7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</w:p>
    <w:p w14:paraId="6EE0E617" w14:textId="77777777" w:rsidR="009B0E9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Name: _________________________________________ State License Number: _____________________</w:t>
      </w:r>
    </w:p>
    <w:p w14:paraId="44E7EAC1" w14:textId="77777777" w:rsidR="009B0E94" w:rsidRPr="00966B74" w:rsidRDefault="009B0E94" w:rsidP="009B0E94">
      <w:pPr>
        <w:pStyle w:val="BasicParagraph"/>
        <w:suppressAutoHyphens/>
        <w:ind w:left="630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Physician Signature: _____________________________________</w:t>
      </w:r>
      <w:proofErr w:type="gramStart"/>
      <w:r>
        <w:rPr>
          <w:rFonts w:asciiTheme="minorHAnsi" w:hAnsiTheme="minorHAnsi" w:cstheme="minorHAnsi"/>
          <w:sz w:val="22"/>
        </w:rPr>
        <w:t>_  Date</w:t>
      </w:r>
      <w:proofErr w:type="gramEnd"/>
      <w:r>
        <w:rPr>
          <w:rFonts w:asciiTheme="minorHAnsi" w:hAnsiTheme="minorHAnsi" w:cstheme="minorHAnsi"/>
          <w:sz w:val="22"/>
        </w:rPr>
        <w:t xml:space="preserve"> Signed: _____________________________</w:t>
      </w:r>
    </w:p>
    <w:p w14:paraId="43D2D8F4" w14:textId="77777777" w:rsidR="00C11E3E" w:rsidRDefault="00966B7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  <w:r w:rsidRPr="00966B74">
        <w:rPr>
          <w:rFonts w:asciiTheme="minorHAnsi" w:hAnsiTheme="minorHAnsi" w:cstheme="minorHAnsi"/>
          <w:b/>
          <w:bCs/>
          <w:sz w:val="22"/>
        </w:rPr>
        <w:lastRenderedPageBreak/>
        <w:t>References</w:t>
      </w:r>
      <w:r w:rsidR="009B0E94">
        <w:rPr>
          <w:rFonts w:asciiTheme="minorHAnsi" w:hAnsiTheme="minorHAnsi" w:cstheme="minorHAnsi"/>
          <w:b/>
          <w:bCs/>
          <w:sz w:val="22"/>
        </w:rPr>
        <w:t>:</w:t>
      </w:r>
    </w:p>
    <w:p w14:paraId="0AD9CE67" w14:textId="77777777" w:rsidR="00B53E0E" w:rsidRPr="00E938D6" w:rsidRDefault="00261065" w:rsidP="00E938D6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E938D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EPR. Expert panel report 3: Guidelines for the diagnosis and management of asthma (EPR 2007). NIH Publication Number 08-5846. Bethesda, MD: U.S. Department of Health and Human Services; National Institutes of Health; National Heart, Lung, and Blood Institute; National Asthma Education and Prevention Program, 2007.</w:t>
      </w:r>
    </w:p>
    <w:p w14:paraId="60CFFD03" w14:textId="77777777" w:rsidR="00261065" w:rsidRDefault="00E938D6" w:rsidP="00E938D6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The Pharmacy Society of Wisconsin. </w:t>
      </w:r>
      <w:r>
        <w:rPr>
          <w:rFonts w:asciiTheme="minorHAnsi" w:hAnsiTheme="minorHAnsi" w:cstheme="minorHAnsi"/>
          <w:i/>
          <w:sz w:val="22"/>
        </w:rPr>
        <w:t>Welcome to WPQC.</w:t>
      </w:r>
      <w:r>
        <w:rPr>
          <w:rFonts w:asciiTheme="minorHAnsi" w:hAnsiTheme="minorHAnsi" w:cstheme="minorHAnsi"/>
          <w:sz w:val="22"/>
        </w:rPr>
        <w:t xml:space="preserve"> Available at </w:t>
      </w:r>
      <w:hyperlink r:id="rId8" w:history="1">
        <w:r w:rsidRPr="00150AEE">
          <w:rPr>
            <w:rStyle w:val="Hyperlink"/>
            <w:rFonts w:asciiTheme="minorHAnsi" w:hAnsiTheme="minorHAnsi" w:cstheme="minorHAnsi"/>
            <w:sz w:val="22"/>
          </w:rPr>
          <w:t>www.pswi.org/wpqc</w:t>
        </w:r>
      </w:hyperlink>
      <w:r>
        <w:rPr>
          <w:rFonts w:asciiTheme="minorHAnsi" w:hAnsiTheme="minorHAnsi" w:cstheme="minorHAnsi"/>
          <w:sz w:val="22"/>
        </w:rPr>
        <w:t xml:space="preserve">, Accessed February 9, 2015. </w:t>
      </w:r>
    </w:p>
    <w:p w14:paraId="262A53C1" w14:textId="77777777" w:rsidR="00261065" w:rsidRDefault="00E938D6" w:rsidP="00E938D6">
      <w:pPr>
        <w:pStyle w:val="BasicParagraph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Wisconsin Pharmacy Quality Collaborative (WPQC) Medication Therapy Management (MTM) Services Program. </w:t>
      </w:r>
      <w:r w:rsidR="00AD2C4B">
        <w:rPr>
          <w:rFonts w:asciiTheme="minorHAnsi" w:hAnsiTheme="minorHAnsi" w:cstheme="minorHAnsi"/>
          <w:sz w:val="22"/>
        </w:rPr>
        <w:t xml:space="preserve">23 April 2014. </w:t>
      </w:r>
      <w:r>
        <w:rPr>
          <w:rFonts w:asciiTheme="minorHAnsi" w:hAnsiTheme="minorHAnsi" w:cstheme="minorHAnsi"/>
          <w:sz w:val="22"/>
        </w:rPr>
        <w:t xml:space="preserve">Available at </w:t>
      </w:r>
      <w:hyperlink r:id="rId9" w:history="1">
        <w:r w:rsidRPr="00150AEE">
          <w:rPr>
            <w:rStyle w:val="Hyperlink"/>
            <w:rFonts w:asciiTheme="minorHAnsi" w:hAnsiTheme="minorHAnsi" w:cstheme="minorHAnsi"/>
            <w:sz w:val="22"/>
          </w:rPr>
          <w:t>http://www.pswi.org/Portals/17/WPQC/Wisconsin%20Pharmacy%20Quality%20Collaborative%20Medication%20Therapy%20Management%20Services%20Program.pdf</w:t>
        </w:r>
      </w:hyperlink>
      <w:r>
        <w:rPr>
          <w:rFonts w:asciiTheme="minorHAnsi" w:hAnsiTheme="minorHAnsi" w:cstheme="minorHAnsi"/>
          <w:sz w:val="22"/>
        </w:rPr>
        <w:t xml:space="preserve">, Accessed February 9, 2015. </w:t>
      </w:r>
    </w:p>
    <w:p w14:paraId="40DBC9A9" w14:textId="77777777" w:rsidR="00261065" w:rsidRDefault="00261065" w:rsidP="00E938D6">
      <w:pPr>
        <w:pStyle w:val="BasicParagraph"/>
        <w:suppressAutoHyphens/>
        <w:ind w:left="720"/>
        <w:rPr>
          <w:rFonts w:asciiTheme="minorHAnsi" w:hAnsiTheme="minorHAnsi" w:cstheme="minorHAnsi"/>
          <w:sz w:val="22"/>
        </w:rPr>
      </w:pPr>
    </w:p>
    <w:p w14:paraId="4AD43B3A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4AF0E9F3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74BECDE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56CAAF1A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8AC69F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4969E353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E42C2A3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231DF19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E48B3E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62A550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10C9230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A50E819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CE4C472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F51408C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B2633DF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3A0B2FA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6FEE6CD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5BE9395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D49838B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848232B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27A00E2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4D80DD41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3B4E9E4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E7DC385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9C28A2D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73BB76B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8F839E5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5D1DE9C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F55C708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8C17F3C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523AE80E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8E530F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4B9418F8" w14:textId="77777777" w:rsidR="009B0E94" w:rsidRDefault="009B0E94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Appendix 1:</w:t>
      </w:r>
    </w:p>
    <w:p w14:paraId="0B8EC680" w14:textId="77777777" w:rsidR="00560833" w:rsidRPr="00A7054F" w:rsidRDefault="00560833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  <w:r w:rsidRPr="00A7054F">
        <w:rPr>
          <w:rFonts w:asciiTheme="minorHAnsi" w:hAnsiTheme="minorHAnsi" w:cstheme="minorHAnsi"/>
          <w:b/>
          <w:bCs/>
          <w:sz w:val="22"/>
        </w:rPr>
        <w:t>Adult A</w:t>
      </w:r>
      <w:r w:rsidR="00A7054F" w:rsidRPr="00A7054F">
        <w:rPr>
          <w:rFonts w:asciiTheme="minorHAnsi" w:hAnsiTheme="minorHAnsi" w:cstheme="minorHAnsi"/>
          <w:b/>
          <w:bCs/>
          <w:sz w:val="22"/>
        </w:rPr>
        <w:t xml:space="preserve">sthma </w:t>
      </w:r>
      <w:r w:rsidRPr="00A7054F">
        <w:rPr>
          <w:rFonts w:asciiTheme="minorHAnsi" w:hAnsiTheme="minorHAnsi" w:cstheme="minorHAnsi"/>
          <w:b/>
          <w:bCs/>
          <w:sz w:val="22"/>
        </w:rPr>
        <w:t>C</w:t>
      </w:r>
      <w:r w:rsidR="00A7054F" w:rsidRPr="00A7054F">
        <w:rPr>
          <w:rFonts w:asciiTheme="minorHAnsi" w:hAnsiTheme="minorHAnsi" w:cstheme="minorHAnsi"/>
          <w:b/>
          <w:bCs/>
          <w:sz w:val="22"/>
        </w:rPr>
        <w:t xml:space="preserve">ontrol </w:t>
      </w:r>
      <w:r w:rsidRPr="00A7054F">
        <w:rPr>
          <w:rFonts w:asciiTheme="minorHAnsi" w:hAnsiTheme="minorHAnsi" w:cstheme="minorHAnsi"/>
          <w:b/>
          <w:bCs/>
          <w:sz w:val="22"/>
        </w:rPr>
        <w:t>T</w:t>
      </w:r>
      <w:r w:rsidR="00A7054F" w:rsidRPr="00A7054F">
        <w:rPr>
          <w:rFonts w:asciiTheme="minorHAnsi" w:hAnsiTheme="minorHAnsi" w:cstheme="minorHAnsi"/>
          <w:b/>
          <w:bCs/>
          <w:sz w:val="22"/>
        </w:rPr>
        <w:t>est</w:t>
      </w:r>
      <w:r w:rsidRPr="00A7054F">
        <w:rPr>
          <w:rFonts w:asciiTheme="minorHAnsi" w:hAnsiTheme="minorHAnsi" w:cstheme="minorHAnsi"/>
          <w:b/>
          <w:bCs/>
          <w:sz w:val="22"/>
        </w:rPr>
        <w:t>:</w:t>
      </w:r>
    </w:p>
    <w:p w14:paraId="7F61DF42" w14:textId="77777777" w:rsidR="00560833" w:rsidRDefault="00560833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noProof/>
          <w:sz w:val="22"/>
        </w:rPr>
        <w:drawing>
          <wp:inline distT="0" distB="0" distL="0" distR="0" wp14:anchorId="705685C7" wp14:editId="4257047A">
            <wp:extent cx="4440567" cy="5593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 adul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402" cy="559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EE11C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7DCECC01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01754498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0AD52302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2DACC883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58952530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6CC09197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329E4CA3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7DEEC993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4CB80DBA" w14:textId="77777777" w:rsidR="002F2924" w:rsidRDefault="002F2924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4BF38631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586FD5AC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55651973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</w:p>
    <w:p w14:paraId="228E352F" w14:textId="77777777" w:rsidR="00560833" w:rsidRPr="00A7054F" w:rsidRDefault="00560833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  <w:r w:rsidRPr="00A7054F">
        <w:rPr>
          <w:rFonts w:asciiTheme="minorHAnsi" w:hAnsiTheme="minorHAnsi" w:cstheme="minorHAnsi"/>
          <w:b/>
          <w:bCs/>
          <w:sz w:val="22"/>
        </w:rPr>
        <w:t>Childhood Asthma Control Test:</w:t>
      </w:r>
    </w:p>
    <w:p w14:paraId="449B0ED6" w14:textId="77777777" w:rsidR="00560833" w:rsidRPr="00560833" w:rsidRDefault="00560833" w:rsidP="00966B74">
      <w:pPr>
        <w:pStyle w:val="BasicParagraph"/>
        <w:suppressAutoHyphens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noProof/>
          <w:sz w:val="22"/>
        </w:rPr>
        <w:drawing>
          <wp:inline distT="0" distB="0" distL="0" distR="0" wp14:anchorId="1F53866D" wp14:editId="6258CFB9">
            <wp:extent cx="4434840" cy="5790878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 AC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579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4FB84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D81AD4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22E14AB8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7FC4B16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4D96774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0362AC87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B817348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303092DC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527EC595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646EBFCA" w14:textId="77777777" w:rsidR="007C0EF5" w:rsidRDefault="007C0EF5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07C0A059" w14:textId="77777777" w:rsidR="007C0EF5" w:rsidRDefault="007C0EF5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03D42265" w14:textId="77777777" w:rsidR="007C0EF5" w:rsidRDefault="007C0EF5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7C3828AC" w14:textId="77777777" w:rsidR="007C0EF5" w:rsidRDefault="007C0EF5" w:rsidP="00966B74">
      <w:pPr>
        <w:pStyle w:val="BasicParagraph"/>
        <w:suppressAutoHyphens/>
        <w:rPr>
          <w:rFonts w:asciiTheme="minorHAnsi" w:hAnsiTheme="minorHAnsi" w:cstheme="minorHAnsi"/>
          <w:b/>
          <w:bCs/>
          <w:sz w:val="22"/>
        </w:rPr>
      </w:pPr>
    </w:p>
    <w:p w14:paraId="117D403B" w14:textId="77777777" w:rsidR="009B0E94" w:rsidRDefault="009B0E94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Appendix 2:</w:t>
      </w:r>
      <w:r w:rsidR="00B53E0E" w:rsidRPr="00966B74">
        <w:rPr>
          <w:rFonts w:asciiTheme="minorHAnsi" w:hAnsiTheme="minorHAnsi" w:cstheme="minorHAnsi"/>
          <w:sz w:val="22"/>
        </w:rPr>
        <w:t xml:space="preserve"> </w:t>
      </w:r>
    </w:p>
    <w:p w14:paraId="0D15C0B9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168F2FE8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0E2DA1B0" w14:textId="77777777" w:rsidR="006903CB" w:rsidRDefault="006903CB" w:rsidP="00966B74">
      <w:pPr>
        <w:pStyle w:val="BasicParagraph"/>
        <w:suppressAutoHyphens/>
        <w:rPr>
          <w:rFonts w:asciiTheme="minorHAnsi" w:hAnsiTheme="minorHAnsi" w:cstheme="minorHAnsi"/>
          <w:b/>
          <w:sz w:val="22"/>
          <w:vertAlign w:val="superscript"/>
        </w:rPr>
      </w:pPr>
      <w:r w:rsidRPr="006903CB">
        <w:rPr>
          <w:rFonts w:asciiTheme="minorHAnsi" w:hAnsiTheme="minorHAnsi" w:cstheme="minorHAnsi"/>
          <w:b/>
          <w:sz w:val="22"/>
        </w:rPr>
        <w:t xml:space="preserve">Assessing Asthma Control and Adjusting Therapy in Youths </w:t>
      </w:r>
      <w:r w:rsidRPr="006903CB">
        <w:rPr>
          <w:rFonts w:asciiTheme="minorHAnsi" w:hAnsiTheme="minorHAnsi" w:cstheme="minorHAnsi"/>
          <w:b/>
          <w:sz w:val="22"/>
          <w:u w:val="single"/>
        </w:rPr>
        <w:t>&gt;</w:t>
      </w:r>
      <w:r w:rsidRPr="006903CB">
        <w:rPr>
          <w:rFonts w:asciiTheme="minorHAnsi" w:hAnsiTheme="minorHAnsi" w:cstheme="minorHAnsi"/>
          <w:b/>
          <w:sz w:val="22"/>
        </w:rPr>
        <w:t>12 Years of Age and Adults</w:t>
      </w:r>
      <w:r w:rsidRPr="006903CB">
        <w:rPr>
          <w:rFonts w:asciiTheme="minorHAnsi" w:hAnsiTheme="minorHAnsi" w:cstheme="minorHAnsi"/>
          <w:b/>
          <w:sz w:val="22"/>
          <w:vertAlign w:val="superscript"/>
        </w:rPr>
        <w:t>1</w:t>
      </w:r>
    </w:p>
    <w:p w14:paraId="07A09E94" w14:textId="77777777" w:rsidR="006903CB" w:rsidRPr="006903CB" w:rsidRDefault="006903CB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0425DB08" wp14:editId="3B5067D2">
            <wp:extent cx="5797296" cy="50596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 adult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4BBD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18965F70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5BD813FE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0B83DBFB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5C9AE474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3D3B1FCA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203F6692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3B4EAEE1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5497BE49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5C6BDA79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30A939A3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6714E858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282278C6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4D80009F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42A4B28C" w14:textId="77777777" w:rsidR="00C1469D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43627615" w14:textId="77777777" w:rsidR="00A7054F" w:rsidRDefault="00A7054F" w:rsidP="00966B74">
      <w:pPr>
        <w:pStyle w:val="BasicParagraph"/>
        <w:suppressAutoHyphens/>
        <w:rPr>
          <w:rFonts w:asciiTheme="minorHAnsi" w:hAnsiTheme="minorHAnsi" w:cstheme="minorHAnsi"/>
          <w:b/>
          <w:sz w:val="22"/>
          <w:vertAlign w:val="superscript"/>
        </w:rPr>
      </w:pPr>
      <w:r w:rsidRPr="006903CB">
        <w:rPr>
          <w:rFonts w:asciiTheme="minorHAnsi" w:hAnsiTheme="minorHAnsi" w:cstheme="minorHAnsi"/>
          <w:b/>
          <w:sz w:val="22"/>
        </w:rPr>
        <w:t>Assessing Asthma Control and Adjusting Therapy in Children</w:t>
      </w:r>
      <w:r w:rsidRPr="006903CB">
        <w:rPr>
          <w:rFonts w:asciiTheme="minorHAnsi" w:hAnsiTheme="minorHAnsi" w:cstheme="minorHAnsi"/>
          <w:b/>
          <w:sz w:val="22"/>
          <w:vertAlign w:val="superscript"/>
        </w:rPr>
        <w:t>1</w:t>
      </w:r>
    </w:p>
    <w:p w14:paraId="3358D993" w14:textId="77777777" w:rsidR="00C1469D" w:rsidRPr="006903CB" w:rsidRDefault="00C1469D" w:rsidP="00966B74">
      <w:pPr>
        <w:pStyle w:val="BasicParagraph"/>
        <w:suppressAutoHyphens/>
        <w:rPr>
          <w:rFonts w:asciiTheme="minorHAnsi" w:hAnsiTheme="minorHAnsi" w:cstheme="minorHAnsi"/>
          <w:b/>
          <w:sz w:val="22"/>
        </w:rPr>
      </w:pPr>
    </w:p>
    <w:p w14:paraId="729F9CFD" w14:textId="77777777" w:rsidR="00A7054F" w:rsidRPr="00A7054F" w:rsidRDefault="00A7054F" w:rsidP="00966B74">
      <w:pPr>
        <w:pStyle w:val="BasicParagraph"/>
        <w:suppressAutoHyphens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16ABB9AF" wp14:editId="54FF329C">
            <wp:extent cx="4914900" cy="6324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ol 4-11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054F" w:rsidRPr="00A7054F" w:rsidSect="00956C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A37E9" w14:textId="77777777" w:rsidR="00270E9A" w:rsidRDefault="00270E9A" w:rsidP="00D04806">
      <w:pPr>
        <w:spacing w:after="0" w:line="240" w:lineRule="auto"/>
      </w:pPr>
      <w:r>
        <w:separator/>
      </w:r>
    </w:p>
  </w:endnote>
  <w:endnote w:type="continuationSeparator" w:id="0">
    <w:p w14:paraId="1437641B" w14:textId="77777777" w:rsidR="00270E9A" w:rsidRDefault="00270E9A" w:rsidP="00D0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FA4C6" w14:textId="77777777" w:rsidR="004F439F" w:rsidRDefault="004F43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4450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A8F958" w14:textId="77777777" w:rsidR="004F439F" w:rsidRDefault="004F439F">
            <w:pPr>
              <w:pStyle w:val="Footer"/>
              <w:jc w:val="right"/>
            </w:pPr>
            <w:r>
              <w:t>CPA: Physician Referral for a CMR/A</w:t>
            </w:r>
            <w:r>
              <w:tab/>
              <w:t xml:space="preserve">                           [DATE OF REVISION]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5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750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725D78" w14:textId="77777777" w:rsidR="004F439F" w:rsidRDefault="004F43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CBF7E" w14:textId="77777777" w:rsidR="004F439F" w:rsidRDefault="004F4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3982A" w14:textId="77777777" w:rsidR="00270E9A" w:rsidRDefault="00270E9A" w:rsidP="00D04806">
      <w:pPr>
        <w:spacing w:after="0" w:line="240" w:lineRule="auto"/>
      </w:pPr>
      <w:r>
        <w:separator/>
      </w:r>
    </w:p>
  </w:footnote>
  <w:footnote w:type="continuationSeparator" w:id="0">
    <w:p w14:paraId="4ED28229" w14:textId="77777777" w:rsidR="00270E9A" w:rsidRDefault="00270E9A" w:rsidP="00D04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D69F" w14:textId="7784B79C" w:rsidR="004F439F" w:rsidRDefault="004F43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E2F5B" w14:textId="3984D4D5" w:rsidR="004F439F" w:rsidRDefault="004F43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3DF0E" w14:textId="25A64A7F" w:rsidR="004F439F" w:rsidRDefault="004F43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0518"/>
    <w:multiLevelType w:val="hybridMultilevel"/>
    <w:tmpl w:val="C8E8E5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C40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16F8D"/>
    <w:multiLevelType w:val="hybridMultilevel"/>
    <w:tmpl w:val="9E709682"/>
    <w:lvl w:ilvl="0" w:tplc="0CE86D2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2B4770E4"/>
    <w:multiLevelType w:val="hybridMultilevel"/>
    <w:tmpl w:val="D674A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E7E95"/>
    <w:multiLevelType w:val="hybridMultilevel"/>
    <w:tmpl w:val="E686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48D0ACA-E233-46B1-A14B-D2121B3495A9}"/>
    <w:docVar w:name="dgnword-eventsink" w:val="111505272"/>
  </w:docVars>
  <w:rsids>
    <w:rsidRoot w:val="00966B74"/>
    <w:rsid w:val="000424D7"/>
    <w:rsid w:val="000702E0"/>
    <w:rsid w:val="00085CF9"/>
    <w:rsid w:val="000A5DAA"/>
    <w:rsid w:val="000E6C36"/>
    <w:rsid w:val="000F0366"/>
    <w:rsid w:val="0015563F"/>
    <w:rsid w:val="0019047D"/>
    <w:rsid w:val="001B7D8A"/>
    <w:rsid w:val="001C34FB"/>
    <w:rsid w:val="001C4BA6"/>
    <w:rsid w:val="001E6A25"/>
    <w:rsid w:val="00261065"/>
    <w:rsid w:val="00270E9A"/>
    <w:rsid w:val="00287A07"/>
    <w:rsid w:val="002E0EC9"/>
    <w:rsid w:val="002F2924"/>
    <w:rsid w:val="003224CA"/>
    <w:rsid w:val="00375CEF"/>
    <w:rsid w:val="0038176D"/>
    <w:rsid w:val="004207A2"/>
    <w:rsid w:val="00457504"/>
    <w:rsid w:val="004615B6"/>
    <w:rsid w:val="004F439F"/>
    <w:rsid w:val="00560833"/>
    <w:rsid w:val="006903CB"/>
    <w:rsid w:val="00700E3C"/>
    <w:rsid w:val="007213FF"/>
    <w:rsid w:val="007406A0"/>
    <w:rsid w:val="00752970"/>
    <w:rsid w:val="00776049"/>
    <w:rsid w:val="00776FF5"/>
    <w:rsid w:val="0079019E"/>
    <w:rsid w:val="00794E68"/>
    <w:rsid w:val="007C0EF5"/>
    <w:rsid w:val="007F377C"/>
    <w:rsid w:val="00816534"/>
    <w:rsid w:val="008F1E1A"/>
    <w:rsid w:val="0090717B"/>
    <w:rsid w:val="0093300A"/>
    <w:rsid w:val="00956C36"/>
    <w:rsid w:val="00966B74"/>
    <w:rsid w:val="009A279C"/>
    <w:rsid w:val="009B0E94"/>
    <w:rsid w:val="00A23DDE"/>
    <w:rsid w:val="00A7054F"/>
    <w:rsid w:val="00A75057"/>
    <w:rsid w:val="00A853A2"/>
    <w:rsid w:val="00A96A78"/>
    <w:rsid w:val="00AC77CE"/>
    <w:rsid w:val="00AD2C4B"/>
    <w:rsid w:val="00AF2B75"/>
    <w:rsid w:val="00B0070C"/>
    <w:rsid w:val="00B164CD"/>
    <w:rsid w:val="00B532A9"/>
    <w:rsid w:val="00B53E0E"/>
    <w:rsid w:val="00B83237"/>
    <w:rsid w:val="00BC03A6"/>
    <w:rsid w:val="00BF30AD"/>
    <w:rsid w:val="00C11E3E"/>
    <w:rsid w:val="00C1469D"/>
    <w:rsid w:val="00C152B5"/>
    <w:rsid w:val="00CE0EF4"/>
    <w:rsid w:val="00D04806"/>
    <w:rsid w:val="00D14648"/>
    <w:rsid w:val="00D46AD6"/>
    <w:rsid w:val="00D971BC"/>
    <w:rsid w:val="00DB3BDD"/>
    <w:rsid w:val="00DC0855"/>
    <w:rsid w:val="00DC2013"/>
    <w:rsid w:val="00DE49A6"/>
    <w:rsid w:val="00E938D6"/>
    <w:rsid w:val="00F570DA"/>
    <w:rsid w:val="00FB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4BF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66B7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snumsectnum">
    <w:name w:val="qs_num_sectnum_"/>
    <w:uiPriority w:val="99"/>
    <w:rsid w:val="007F377C"/>
    <w:rPr>
      <w:rFonts w:ascii="Times New Roman" w:hAnsi="Times New Roman" w:cs="Times New Roman"/>
    </w:rPr>
  </w:style>
  <w:style w:type="character" w:customStyle="1" w:styleId="qstitlesection">
    <w:name w:val="qs_title_section_"/>
    <w:uiPriority w:val="99"/>
    <w:rsid w:val="007F377C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7F377C"/>
    <w:rPr>
      <w:rFonts w:ascii="Times New Roman" w:hAnsi="Times New Roman" w:cs="Times New Roman"/>
    </w:rPr>
  </w:style>
  <w:style w:type="character" w:customStyle="1" w:styleId="qsrefstatnuma">
    <w:name w:val="qs_ref_statnuma_"/>
    <w:uiPriority w:val="99"/>
    <w:rsid w:val="007F377C"/>
    <w:rPr>
      <w:rFonts w:ascii="Times New Roman" w:hAnsi="Times New Roman" w:cs="Times New Roman"/>
    </w:rPr>
  </w:style>
  <w:style w:type="character" w:styleId="Hyperlink">
    <w:name w:val="Hyperlink"/>
    <w:uiPriority w:val="99"/>
    <w:rsid w:val="007F377C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F377C"/>
    <w:pPr>
      <w:autoSpaceDE w:val="0"/>
      <w:autoSpaceDN w:val="0"/>
      <w:adjustRightInd w:val="0"/>
      <w:spacing w:after="0" w:line="240" w:lineRule="auto"/>
      <w:ind w:right="713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7F377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2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06"/>
  </w:style>
  <w:style w:type="paragraph" w:styleId="Footer">
    <w:name w:val="footer"/>
    <w:basedOn w:val="Normal"/>
    <w:link w:val="FooterChar"/>
    <w:uiPriority w:val="99"/>
    <w:unhideWhenUsed/>
    <w:rsid w:val="00D0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66B7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qsnumsectnum">
    <w:name w:val="qs_num_sectnum_"/>
    <w:uiPriority w:val="99"/>
    <w:rsid w:val="007F377C"/>
    <w:rPr>
      <w:rFonts w:ascii="Times New Roman" w:hAnsi="Times New Roman" w:cs="Times New Roman"/>
    </w:rPr>
  </w:style>
  <w:style w:type="character" w:customStyle="1" w:styleId="qstitlesection">
    <w:name w:val="qs_title_section_"/>
    <w:uiPriority w:val="99"/>
    <w:rsid w:val="007F377C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7F377C"/>
    <w:rPr>
      <w:rFonts w:ascii="Times New Roman" w:hAnsi="Times New Roman" w:cs="Times New Roman"/>
    </w:rPr>
  </w:style>
  <w:style w:type="character" w:customStyle="1" w:styleId="qsrefstatnuma">
    <w:name w:val="qs_ref_statnuma_"/>
    <w:uiPriority w:val="99"/>
    <w:rsid w:val="007F377C"/>
    <w:rPr>
      <w:rFonts w:ascii="Times New Roman" w:hAnsi="Times New Roman" w:cs="Times New Roman"/>
    </w:rPr>
  </w:style>
  <w:style w:type="character" w:styleId="Hyperlink">
    <w:name w:val="Hyperlink"/>
    <w:uiPriority w:val="99"/>
    <w:rsid w:val="007F377C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7F377C"/>
    <w:pPr>
      <w:autoSpaceDE w:val="0"/>
      <w:autoSpaceDN w:val="0"/>
      <w:adjustRightInd w:val="0"/>
      <w:spacing w:after="0" w:line="240" w:lineRule="auto"/>
      <w:ind w:right="713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7F377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8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2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2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2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06"/>
  </w:style>
  <w:style w:type="paragraph" w:styleId="Footer">
    <w:name w:val="footer"/>
    <w:basedOn w:val="Normal"/>
    <w:link w:val="FooterChar"/>
    <w:uiPriority w:val="99"/>
    <w:unhideWhenUsed/>
    <w:rsid w:val="00D04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wi.org/wpqc" TargetMode="External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swi.org/Portals/17/WPQC/Wisconsin%20Pharmacy%20Quality%20Collaborative%20Medication%20Therapy%20Management%20Services%20Program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Grant</dc:creator>
  <cp:lastModifiedBy>Erika Horstmann</cp:lastModifiedBy>
  <cp:revision>3</cp:revision>
  <dcterms:created xsi:type="dcterms:W3CDTF">2015-03-23T22:25:00Z</dcterms:created>
  <dcterms:modified xsi:type="dcterms:W3CDTF">2015-03-23T22:25:00Z</dcterms:modified>
</cp:coreProperties>
</file>